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101F9" w14:textId="78655AFB" w:rsidR="00FB4B4D" w:rsidRDefault="00FB4B4D" w:rsidP="00A646A7">
      <w:pPr>
        <w:pStyle w:val="Heading1"/>
      </w:pPr>
      <w:bookmarkStart w:id="0" w:name="_GoBack"/>
      <w:bookmarkEnd w:id="0"/>
      <w:r>
        <w:t>Company Fact Shee</w:t>
      </w:r>
      <w:r w:rsidR="00B81575">
        <w:t xml:space="preserve">t – </w:t>
      </w:r>
      <w:r w:rsidR="001169C7">
        <w:t xml:space="preserve">June </w:t>
      </w:r>
      <w:r w:rsidR="0007382C">
        <w:t>2021</w:t>
      </w:r>
    </w:p>
    <w:p w14:paraId="4FD34DAE" w14:textId="77777777" w:rsidR="00EC7B49" w:rsidRDefault="00EC7B49" w:rsidP="007F3F51">
      <w:pPr>
        <w:rPr>
          <w:rFonts w:ascii="Arial Narrow" w:hAnsi="Arial Narrow" w:cs="Arial"/>
          <w:b/>
          <w:sz w:val="22"/>
          <w:szCs w:val="22"/>
        </w:rPr>
      </w:pPr>
    </w:p>
    <w:p w14:paraId="57AC54DC" w14:textId="69E7D65D" w:rsidR="00FB4B4D" w:rsidRPr="00921C7C" w:rsidRDefault="00FB4B4D" w:rsidP="007F3F51">
      <w:pPr>
        <w:ind w:left="3240" w:hanging="32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Headquarters:</w:t>
      </w:r>
      <w:r>
        <w:rPr>
          <w:rFonts w:ascii="Arial Narrow" w:hAnsi="Arial Narrow" w:cs="Arial"/>
          <w:b/>
          <w:sz w:val="22"/>
          <w:szCs w:val="22"/>
        </w:rPr>
        <w:tab/>
      </w:r>
      <w:r w:rsidR="00921C7C" w:rsidRPr="00921C7C">
        <w:rPr>
          <w:rFonts w:ascii="Arial Narrow" w:hAnsi="Arial Narrow"/>
          <w:sz w:val="22"/>
          <w:szCs w:val="22"/>
        </w:rPr>
        <w:t>Nuvaira, Inc.</w:t>
      </w:r>
    </w:p>
    <w:p w14:paraId="058B5B7B" w14:textId="2731E073" w:rsidR="00FB4B4D" w:rsidRDefault="00FB4B4D" w:rsidP="00BC33AF">
      <w:pPr>
        <w:ind w:left="3240" w:hanging="32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BC33AF">
        <w:rPr>
          <w:rFonts w:ascii="Arial Narrow" w:hAnsi="Arial Narrow" w:cs="Arial"/>
          <w:sz w:val="22"/>
          <w:szCs w:val="22"/>
        </w:rPr>
        <w:t>6500 Wedgwood Ave</w:t>
      </w:r>
    </w:p>
    <w:p w14:paraId="4E41246C" w14:textId="238E0D86" w:rsidR="00FB4B4D" w:rsidRDefault="00FB4B4D" w:rsidP="007F3F51">
      <w:pPr>
        <w:ind w:left="3240" w:hanging="32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BC33AF">
        <w:rPr>
          <w:rFonts w:ascii="Arial Narrow" w:hAnsi="Arial Narrow" w:cs="Arial"/>
          <w:sz w:val="22"/>
          <w:szCs w:val="22"/>
        </w:rPr>
        <w:t>Minneapolis</w:t>
      </w:r>
      <w:r>
        <w:rPr>
          <w:rFonts w:ascii="Arial Narrow" w:hAnsi="Arial Narrow" w:cs="Arial"/>
          <w:sz w:val="22"/>
          <w:szCs w:val="22"/>
        </w:rPr>
        <w:t>, MN 55</w:t>
      </w:r>
      <w:r w:rsidR="008948A1">
        <w:rPr>
          <w:rFonts w:ascii="Arial Narrow" w:hAnsi="Arial Narrow" w:cs="Arial"/>
          <w:sz w:val="22"/>
          <w:szCs w:val="22"/>
        </w:rPr>
        <w:t>311</w:t>
      </w:r>
    </w:p>
    <w:p w14:paraId="341F198E" w14:textId="39C70BBC" w:rsidR="00FB4B4D" w:rsidRDefault="00FB4B4D" w:rsidP="007F3F51">
      <w:pPr>
        <w:ind w:left="3240" w:hanging="32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622C82">
        <w:rPr>
          <w:rFonts w:ascii="Arial Narrow" w:hAnsi="Arial Narrow" w:cs="Arial"/>
          <w:sz w:val="22"/>
          <w:szCs w:val="22"/>
        </w:rPr>
        <w:t>763</w:t>
      </w:r>
      <w:r>
        <w:rPr>
          <w:rFonts w:ascii="Arial Narrow" w:hAnsi="Arial Narrow" w:cs="Arial"/>
          <w:sz w:val="22"/>
          <w:szCs w:val="22"/>
        </w:rPr>
        <w:t>.450.2800</w:t>
      </w:r>
    </w:p>
    <w:p w14:paraId="282419A7" w14:textId="456BE707" w:rsidR="00FB4B4D" w:rsidRDefault="00FB4B4D" w:rsidP="007F3F51">
      <w:pPr>
        <w:ind w:left="3240" w:hanging="32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921C7C">
        <w:rPr>
          <w:rFonts w:ascii="Arial Narrow" w:hAnsi="Arial Narrow" w:cs="Arial"/>
          <w:sz w:val="22"/>
          <w:szCs w:val="22"/>
        </w:rPr>
        <w:t>www.nuvaira.com</w:t>
      </w:r>
    </w:p>
    <w:p w14:paraId="07188D74" w14:textId="77777777" w:rsidR="00416FAA" w:rsidRDefault="00416FAA" w:rsidP="007F3F51">
      <w:pPr>
        <w:rPr>
          <w:rFonts w:ascii="Arial Narrow" w:hAnsi="Arial Narrow" w:cs="Arial"/>
          <w:sz w:val="22"/>
          <w:szCs w:val="22"/>
        </w:rPr>
      </w:pPr>
    </w:p>
    <w:p w14:paraId="53F74EC4" w14:textId="72BBE86A" w:rsidR="00416FAA" w:rsidRPr="00416FAA" w:rsidRDefault="00416FAA" w:rsidP="007F3F51">
      <w:pPr>
        <w:ind w:left="3240" w:hanging="3240"/>
        <w:rPr>
          <w:rFonts w:ascii="Arial Narrow" w:hAnsi="Arial Narrow" w:cs="Arial"/>
          <w:b/>
          <w:sz w:val="22"/>
          <w:szCs w:val="22"/>
        </w:rPr>
      </w:pPr>
      <w:r w:rsidRPr="00416FAA">
        <w:rPr>
          <w:rFonts w:ascii="Arial Narrow" w:hAnsi="Arial Narrow" w:cs="Arial"/>
          <w:b/>
          <w:sz w:val="22"/>
          <w:szCs w:val="22"/>
        </w:rPr>
        <w:t>Number of Employees:</w:t>
      </w:r>
      <w:r>
        <w:rPr>
          <w:rFonts w:ascii="Arial Narrow" w:hAnsi="Arial Narrow" w:cs="Arial"/>
          <w:b/>
          <w:sz w:val="22"/>
          <w:szCs w:val="22"/>
        </w:rPr>
        <w:tab/>
      </w:r>
      <w:r w:rsidR="00BC33AF">
        <w:rPr>
          <w:rFonts w:ascii="Arial Narrow" w:hAnsi="Arial Narrow" w:cs="Arial"/>
          <w:b/>
          <w:sz w:val="22"/>
          <w:szCs w:val="22"/>
        </w:rPr>
        <w:t xml:space="preserve">approximately </w:t>
      </w:r>
      <w:r w:rsidR="006173D4">
        <w:rPr>
          <w:rFonts w:ascii="Arial Narrow" w:hAnsi="Arial Narrow" w:cs="Arial"/>
          <w:sz w:val="22"/>
          <w:szCs w:val="22"/>
        </w:rPr>
        <w:t>50</w:t>
      </w:r>
    </w:p>
    <w:p w14:paraId="519594D0" w14:textId="77777777" w:rsidR="00FB4B4D" w:rsidRDefault="00FB4B4D" w:rsidP="007F3F51">
      <w:pPr>
        <w:rPr>
          <w:rFonts w:ascii="Arial Narrow" w:hAnsi="Arial Narrow" w:cs="Arial"/>
          <w:sz w:val="22"/>
          <w:szCs w:val="22"/>
        </w:rPr>
      </w:pPr>
    </w:p>
    <w:p w14:paraId="727AC0B5" w14:textId="51B86299" w:rsidR="00FB4B4D" w:rsidRDefault="00FB4B4D" w:rsidP="007F3F51">
      <w:pPr>
        <w:ind w:left="3240" w:hanging="3240"/>
        <w:rPr>
          <w:rFonts w:ascii="Arial Narrow" w:hAnsi="Arial Narrow" w:cs="Arial"/>
          <w:sz w:val="22"/>
          <w:szCs w:val="22"/>
        </w:rPr>
      </w:pPr>
      <w:r w:rsidRPr="00FB4B4D">
        <w:rPr>
          <w:rFonts w:ascii="Arial Narrow" w:hAnsi="Arial Narrow" w:cs="Arial"/>
          <w:b/>
          <w:sz w:val="22"/>
          <w:szCs w:val="22"/>
        </w:rPr>
        <w:t>Products</w:t>
      </w:r>
      <w:r>
        <w:rPr>
          <w:rFonts w:ascii="Arial Narrow" w:hAnsi="Arial Narrow" w:cs="Arial"/>
          <w:b/>
          <w:sz w:val="22"/>
          <w:szCs w:val="22"/>
        </w:rPr>
        <w:t xml:space="preserve"> and Intended use</w:t>
      </w:r>
      <w:r w:rsidRPr="00FB4B4D">
        <w:rPr>
          <w:rFonts w:ascii="Arial Narrow" w:hAnsi="Arial Narrow" w:cs="Arial"/>
          <w:b/>
          <w:sz w:val="22"/>
          <w:szCs w:val="22"/>
        </w:rPr>
        <w:t>:</w:t>
      </w:r>
      <w:r w:rsidR="00416FAA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The </w:t>
      </w:r>
      <w:r w:rsidR="00921C7C">
        <w:rPr>
          <w:rFonts w:ascii="Arial Narrow" w:hAnsi="Arial Narrow"/>
          <w:sz w:val="22"/>
          <w:szCs w:val="22"/>
        </w:rPr>
        <w:t>Nuvaira</w:t>
      </w:r>
      <w:r w:rsidR="00B81575">
        <w:rPr>
          <w:rFonts w:ascii="Arial Narrow" w:hAnsi="Arial Narrow"/>
          <w:sz w:val="22"/>
          <w:szCs w:val="22"/>
        </w:rPr>
        <w:t>®</w:t>
      </w:r>
      <w:r w:rsidR="00921C7C">
        <w:rPr>
          <w:rFonts w:ascii="Arial Narrow" w:hAnsi="Arial Narrow"/>
          <w:sz w:val="22"/>
          <w:szCs w:val="22"/>
        </w:rPr>
        <w:t xml:space="preserve"> Lung Denervation System </w:t>
      </w:r>
      <w:r w:rsidR="00944AB2">
        <w:rPr>
          <w:rFonts w:ascii="Arial Narrow" w:hAnsi="Arial Narrow" w:cs="Arial"/>
          <w:sz w:val="22"/>
          <w:szCs w:val="22"/>
        </w:rPr>
        <w:t>is a novel, catheter-</w:t>
      </w:r>
      <w:r>
        <w:rPr>
          <w:rFonts w:ascii="Arial Narrow" w:hAnsi="Arial Narrow" w:cs="Arial"/>
          <w:sz w:val="22"/>
          <w:szCs w:val="22"/>
        </w:rPr>
        <w:t xml:space="preserve">based system </w:t>
      </w:r>
      <w:r w:rsidR="00944AB2">
        <w:rPr>
          <w:rFonts w:ascii="Arial Narrow" w:hAnsi="Arial Narrow" w:cs="Arial"/>
          <w:sz w:val="22"/>
          <w:szCs w:val="22"/>
        </w:rPr>
        <w:t xml:space="preserve">designed </w:t>
      </w:r>
      <w:r w:rsidR="00B81575">
        <w:rPr>
          <w:rFonts w:ascii="Arial Narrow" w:hAnsi="Arial Narrow" w:cs="Arial"/>
          <w:sz w:val="22"/>
          <w:szCs w:val="22"/>
        </w:rPr>
        <w:t>to treat airway nerve</w:t>
      </w:r>
      <w:r w:rsidR="00A646A7">
        <w:rPr>
          <w:rFonts w:ascii="Arial Narrow" w:hAnsi="Arial Narrow" w:cs="Arial"/>
          <w:sz w:val="22"/>
          <w:szCs w:val="22"/>
        </w:rPr>
        <w:t xml:space="preserve"> hyperactivity,</w:t>
      </w:r>
      <w:r w:rsidR="00B81575">
        <w:rPr>
          <w:rFonts w:ascii="Arial Narrow" w:hAnsi="Arial Narrow" w:cs="Arial"/>
          <w:sz w:val="22"/>
          <w:szCs w:val="22"/>
        </w:rPr>
        <w:t xml:space="preserve"> a common pathophysiologic underpinning of chronic</w:t>
      </w:r>
      <w:r>
        <w:rPr>
          <w:rFonts w:ascii="Arial Narrow" w:hAnsi="Arial Narrow" w:cs="Arial"/>
          <w:sz w:val="22"/>
          <w:szCs w:val="22"/>
        </w:rPr>
        <w:t xml:space="preserve"> obstructive pulmonary disease (</w:t>
      </w:r>
      <w:r w:rsidRPr="00F7676B">
        <w:rPr>
          <w:rFonts w:ascii="Arial Narrow" w:hAnsi="Arial Narrow" w:cs="Arial"/>
          <w:sz w:val="22"/>
          <w:szCs w:val="22"/>
        </w:rPr>
        <w:t>COPD</w:t>
      </w:r>
      <w:r>
        <w:rPr>
          <w:rFonts w:ascii="Arial Narrow" w:hAnsi="Arial Narrow" w:cs="Arial"/>
          <w:sz w:val="22"/>
          <w:szCs w:val="22"/>
        </w:rPr>
        <w:t>)</w:t>
      </w:r>
      <w:r w:rsidR="007673CA">
        <w:rPr>
          <w:rFonts w:ascii="Arial Narrow" w:hAnsi="Arial Narrow" w:cs="Arial"/>
          <w:sz w:val="22"/>
          <w:szCs w:val="22"/>
        </w:rPr>
        <w:t xml:space="preserve"> and asthma</w:t>
      </w:r>
      <w:r w:rsidR="00B81575">
        <w:rPr>
          <w:rFonts w:ascii="Arial Narrow" w:hAnsi="Arial Narrow" w:cs="Arial"/>
          <w:sz w:val="22"/>
          <w:szCs w:val="22"/>
        </w:rPr>
        <w:t>.</w:t>
      </w:r>
      <w:r w:rsidR="00416FAA">
        <w:rPr>
          <w:rFonts w:ascii="Arial Narrow" w:hAnsi="Arial Narrow" w:cs="Arial"/>
          <w:sz w:val="22"/>
          <w:szCs w:val="22"/>
        </w:rPr>
        <w:t xml:space="preserve">  The </w:t>
      </w:r>
      <w:r w:rsidR="00FB3ECB">
        <w:rPr>
          <w:rFonts w:ascii="Arial Narrow" w:hAnsi="Arial Narrow" w:cs="Arial"/>
          <w:sz w:val="22"/>
          <w:szCs w:val="22"/>
        </w:rPr>
        <w:t>Nuvaira</w:t>
      </w:r>
      <w:r w:rsidR="00416FAA">
        <w:rPr>
          <w:rFonts w:ascii="Arial Narrow" w:hAnsi="Arial Narrow" w:cs="Arial"/>
          <w:sz w:val="22"/>
          <w:szCs w:val="22"/>
        </w:rPr>
        <w:t xml:space="preserve"> </w:t>
      </w:r>
      <w:r w:rsidR="00A646A7">
        <w:rPr>
          <w:rFonts w:ascii="Arial Narrow" w:hAnsi="Arial Narrow" w:cs="Arial"/>
          <w:sz w:val="22"/>
          <w:szCs w:val="22"/>
        </w:rPr>
        <w:t>s</w:t>
      </w:r>
      <w:r w:rsidR="00416FAA">
        <w:rPr>
          <w:rFonts w:ascii="Arial Narrow" w:hAnsi="Arial Narrow" w:cs="Arial"/>
          <w:sz w:val="22"/>
          <w:szCs w:val="22"/>
        </w:rPr>
        <w:t xml:space="preserve">ystem is comprised of </w:t>
      </w:r>
      <w:r w:rsidR="00944AB2">
        <w:rPr>
          <w:rFonts w:ascii="Arial Narrow" w:hAnsi="Arial Narrow" w:cs="Arial"/>
          <w:sz w:val="22"/>
          <w:szCs w:val="22"/>
        </w:rPr>
        <w:t>a</w:t>
      </w:r>
      <w:r w:rsidR="00416FAA">
        <w:rPr>
          <w:rFonts w:ascii="Arial Narrow" w:hAnsi="Arial Narrow" w:cs="Arial"/>
          <w:sz w:val="22"/>
          <w:szCs w:val="22"/>
        </w:rPr>
        <w:t xml:space="preserve"> </w:t>
      </w:r>
      <w:r w:rsidR="00BC33AF">
        <w:rPr>
          <w:rFonts w:ascii="Arial Narrow" w:hAnsi="Arial Narrow" w:cs="Arial"/>
          <w:sz w:val="22"/>
          <w:szCs w:val="22"/>
        </w:rPr>
        <w:t xml:space="preserve">capital good (energy delivery </w:t>
      </w:r>
      <w:r w:rsidR="00416FAA">
        <w:rPr>
          <w:rFonts w:ascii="Arial Narrow" w:hAnsi="Arial Narrow" w:cs="Arial"/>
          <w:sz w:val="22"/>
          <w:szCs w:val="22"/>
        </w:rPr>
        <w:t>console</w:t>
      </w:r>
      <w:r w:rsidR="00BC33AF">
        <w:rPr>
          <w:rFonts w:ascii="Arial Narrow" w:hAnsi="Arial Narrow" w:cs="Arial"/>
          <w:sz w:val="22"/>
          <w:szCs w:val="22"/>
        </w:rPr>
        <w:t>)</w:t>
      </w:r>
      <w:r w:rsidR="00B53EBB">
        <w:rPr>
          <w:rFonts w:ascii="Arial Narrow" w:hAnsi="Arial Narrow" w:cs="Arial"/>
          <w:sz w:val="22"/>
          <w:szCs w:val="22"/>
        </w:rPr>
        <w:t>,</w:t>
      </w:r>
      <w:r w:rsidR="006B42C7">
        <w:rPr>
          <w:rFonts w:ascii="Arial Narrow" w:hAnsi="Arial Narrow" w:cs="Arial"/>
          <w:sz w:val="22"/>
          <w:szCs w:val="22"/>
        </w:rPr>
        <w:t xml:space="preserve"> </w:t>
      </w:r>
      <w:r w:rsidR="00BC33AF">
        <w:rPr>
          <w:rFonts w:ascii="Arial Narrow" w:hAnsi="Arial Narrow" w:cs="Arial"/>
          <w:sz w:val="22"/>
          <w:szCs w:val="22"/>
        </w:rPr>
        <w:t xml:space="preserve">specialized per-patient-use </w:t>
      </w:r>
      <w:r w:rsidR="00416FAA">
        <w:rPr>
          <w:rFonts w:ascii="Arial Narrow" w:hAnsi="Arial Narrow" w:cs="Arial"/>
          <w:sz w:val="22"/>
          <w:szCs w:val="22"/>
        </w:rPr>
        <w:t>dNerva</w:t>
      </w:r>
      <w:r w:rsidR="00A646A7">
        <w:rPr>
          <w:rFonts w:ascii="Arial Narrow" w:hAnsi="Arial Narrow" w:cs="Arial"/>
          <w:sz w:val="22"/>
          <w:szCs w:val="22"/>
        </w:rPr>
        <w:t>®</w:t>
      </w:r>
      <w:r w:rsidR="00416FAA">
        <w:rPr>
          <w:rFonts w:ascii="Arial Narrow" w:hAnsi="Arial Narrow" w:cs="Arial"/>
          <w:sz w:val="22"/>
          <w:szCs w:val="22"/>
        </w:rPr>
        <w:t xml:space="preserve"> Dual Cooled RF Catheter</w:t>
      </w:r>
      <w:r w:rsidR="00BC33AF">
        <w:rPr>
          <w:rFonts w:ascii="Arial Narrow" w:hAnsi="Arial Narrow" w:cs="Arial"/>
          <w:sz w:val="22"/>
          <w:szCs w:val="22"/>
        </w:rPr>
        <w:t>s in multiple sizes to accommodate variable airway anatomy, and a</w:t>
      </w:r>
      <w:r w:rsidR="00C83207">
        <w:rPr>
          <w:rFonts w:ascii="Arial Narrow" w:hAnsi="Arial Narrow" w:cs="Arial"/>
          <w:sz w:val="22"/>
          <w:szCs w:val="22"/>
        </w:rPr>
        <w:t>n</w:t>
      </w:r>
      <w:r w:rsidR="00BC33AF">
        <w:rPr>
          <w:rFonts w:ascii="Arial Narrow" w:hAnsi="Arial Narrow" w:cs="Arial"/>
          <w:sz w:val="22"/>
          <w:szCs w:val="22"/>
        </w:rPr>
        <w:t xml:space="preserve"> Accessory Kit</w:t>
      </w:r>
      <w:r w:rsidR="006B42C7">
        <w:rPr>
          <w:rFonts w:ascii="Arial Narrow" w:hAnsi="Arial Narrow" w:cs="Arial"/>
          <w:sz w:val="22"/>
          <w:szCs w:val="22"/>
        </w:rPr>
        <w:t>.</w:t>
      </w:r>
    </w:p>
    <w:p w14:paraId="20806130" w14:textId="781D26C8" w:rsidR="006173D4" w:rsidRDefault="006173D4" w:rsidP="007F3F51">
      <w:pPr>
        <w:ind w:left="3240" w:hanging="3240"/>
        <w:rPr>
          <w:rFonts w:ascii="Arial Narrow" w:hAnsi="Arial Narrow" w:cs="Arial"/>
          <w:sz w:val="22"/>
          <w:szCs w:val="22"/>
        </w:rPr>
      </w:pPr>
    </w:p>
    <w:p w14:paraId="1165B747" w14:textId="74B88CE1" w:rsidR="006173D4" w:rsidRDefault="006173D4" w:rsidP="007F3F51">
      <w:pPr>
        <w:ind w:left="3240" w:hanging="3240"/>
        <w:rPr>
          <w:rFonts w:ascii="Arial Narrow" w:hAnsi="Arial Narrow" w:cs="Arial"/>
          <w:sz w:val="22"/>
          <w:szCs w:val="22"/>
        </w:rPr>
      </w:pPr>
      <w:r w:rsidRPr="006173D4">
        <w:rPr>
          <w:rFonts w:ascii="Arial Narrow" w:hAnsi="Arial Narrow" w:cs="Arial"/>
          <w:b/>
          <w:sz w:val="22"/>
          <w:szCs w:val="22"/>
        </w:rPr>
        <w:t>Procedure:</w:t>
      </w:r>
      <w:r>
        <w:rPr>
          <w:rFonts w:ascii="Arial Narrow" w:hAnsi="Arial Narrow" w:cs="Arial"/>
          <w:sz w:val="22"/>
          <w:szCs w:val="22"/>
        </w:rPr>
        <w:tab/>
        <w:t xml:space="preserve">TLD therapy is </w:t>
      </w:r>
      <w:r w:rsidR="00BC33AF">
        <w:rPr>
          <w:rFonts w:ascii="Arial Narrow" w:hAnsi="Arial Narrow" w:cs="Arial"/>
          <w:sz w:val="22"/>
          <w:szCs w:val="22"/>
        </w:rPr>
        <w:t>performed as an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C33AF">
        <w:rPr>
          <w:rFonts w:ascii="Arial Narrow" w:hAnsi="Arial Narrow" w:cs="Arial"/>
          <w:sz w:val="22"/>
          <w:szCs w:val="22"/>
        </w:rPr>
        <w:t xml:space="preserve">outpatient </w:t>
      </w:r>
      <w:r>
        <w:rPr>
          <w:rFonts w:ascii="Arial Narrow" w:hAnsi="Arial Narrow" w:cs="Arial"/>
          <w:sz w:val="22"/>
          <w:szCs w:val="22"/>
        </w:rPr>
        <w:t>procedure under general anesthesia.  The TLD catheter is introduced</w:t>
      </w:r>
      <w:r w:rsidR="00BC33AF">
        <w:rPr>
          <w:rFonts w:ascii="Arial Narrow" w:hAnsi="Arial Narrow" w:cs="Arial"/>
          <w:sz w:val="22"/>
          <w:szCs w:val="22"/>
        </w:rPr>
        <w:t xml:space="preserve"> into the lung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C33AF">
        <w:rPr>
          <w:rFonts w:ascii="Arial Narrow" w:hAnsi="Arial Narrow" w:cs="Arial"/>
          <w:sz w:val="22"/>
          <w:szCs w:val="22"/>
        </w:rPr>
        <w:t>via a standard therapeutic bronchoscope</w:t>
      </w:r>
      <w:r>
        <w:rPr>
          <w:rFonts w:ascii="Arial Narrow" w:hAnsi="Arial Narrow" w:cs="Arial"/>
          <w:sz w:val="22"/>
          <w:szCs w:val="22"/>
        </w:rPr>
        <w:t>.  Energy is delivere</w:t>
      </w:r>
      <w:r w:rsidR="00BC33AF">
        <w:rPr>
          <w:rFonts w:ascii="Arial Narrow" w:hAnsi="Arial Narrow" w:cs="Arial"/>
          <w:sz w:val="22"/>
          <w:szCs w:val="22"/>
        </w:rPr>
        <w:t xml:space="preserve">d </w:t>
      </w:r>
      <w:r>
        <w:rPr>
          <w:rFonts w:ascii="Arial Narrow" w:hAnsi="Arial Narrow" w:cs="Arial"/>
          <w:sz w:val="22"/>
          <w:szCs w:val="22"/>
        </w:rPr>
        <w:t xml:space="preserve">to ablate the vagal pulmonary nerves while continuously cooling and protecting the </w:t>
      </w:r>
      <w:r w:rsidR="00BC33AF">
        <w:rPr>
          <w:rFonts w:ascii="Arial Narrow" w:hAnsi="Arial Narrow" w:cs="Arial"/>
          <w:sz w:val="22"/>
          <w:szCs w:val="22"/>
        </w:rPr>
        <w:t>patient’s</w:t>
      </w:r>
      <w:r>
        <w:rPr>
          <w:rFonts w:ascii="Arial Narrow" w:hAnsi="Arial Narrow" w:cs="Arial"/>
          <w:sz w:val="22"/>
          <w:szCs w:val="22"/>
        </w:rPr>
        <w:t xml:space="preserve"> airways.  </w:t>
      </w:r>
      <w:r w:rsidR="00E718B5">
        <w:rPr>
          <w:rFonts w:ascii="Arial Narrow" w:hAnsi="Arial Narrow" w:cs="Arial"/>
          <w:sz w:val="22"/>
          <w:szCs w:val="22"/>
        </w:rPr>
        <w:t>Both</w:t>
      </w:r>
      <w:r>
        <w:rPr>
          <w:rFonts w:ascii="Arial Narrow" w:hAnsi="Arial Narrow" w:cs="Arial"/>
          <w:sz w:val="22"/>
          <w:szCs w:val="22"/>
        </w:rPr>
        <w:t xml:space="preserve"> lungs are treated in </w:t>
      </w:r>
      <w:r w:rsidR="00E718B5">
        <w:rPr>
          <w:rFonts w:ascii="Arial Narrow" w:hAnsi="Arial Narrow" w:cs="Arial"/>
          <w:sz w:val="22"/>
          <w:szCs w:val="22"/>
        </w:rPr>
        <w:t xml:space="preserve">one </w:t>
      </w:r>
      <w:r>
        <w:rPr>
          <w:rFonts w:ascii="Arial Narrow" w:hAnsi="Arial Narrow" w:cs="Arial"/>
          <w:sz w:val="22"/>
          <w:szCs w:val="22"/>
        </w:rPr>
        <w:t>procedure</w:t>
      </w:r>
      <w:r w:rsidR="00E718B5">
        <w:rPr>
          <w:rFonts w:ascii="Arial Narrow" w:hAnsi="Arial Narrow" w:cs="Arial"/>
          <w:sz w:val="22"/>
          <w:szCs w:val="22"/>
        </w:rPr>
        <w:t>, which takes about an hour</w:t>
      </w:r>
      <w:r>
        <w:rPr>
          <w:rFonts w:ascii="Arial Narrow" w:hAnsi="Arial Narrow" w:cs="Arial"/>
          <w:sz w:val="22"/>
          <w:szCs w:val="22"/>
        </w:rPr>
        <w:t>. TLD leaves no foreign body implants in the lung, and most patients return home the day of the procedure.</w:t>
      </w:r>
    </w:p>
    <w:p w14:paraId="6A3FD517" w14:textId="77777777" w:rsidR="00416FAA" w:rsidRDefault="00416FAA" w:rsidP="007F3F51">
      <w:pPr>
        <w:rPr>
          <w:rFonts w:ascii="Arial Narrow" w:hAnsi="Arial Narrow" w:cs="Arial"/>
          <w:sz w:val="22"/>
          <w:szCs w:val="22"/>
        </w:rPr>
      </w:pPr>
    </w:p>
    <w:p w14:paraId="2DDEBE94" w14:textId="636051C8" w:rsidR="00416FAA" w:rsidRDefault="00B81575" w:rsidP="000A78B1">
      <w:pPr>
        <w:ind w:left="3240" w:hanging="32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Clinical </w:t>
      </w:r>
      <w:r w:rsidR="00B12AC7">
        <w:rPr>
          <w:rFonts w:ascii="Arial Narrow" w:hAnsi="Arial Narrow" w:cs="Arial"/>
          <w:b/>
          <w:sz w:val="22"/>
          <w:szCs w:val="22"/>
        </w:rPr>
        <w:t>Trial</w:t>
      </w:r>
      <w:r w:rsidR="003743C9">
        <w:rPr>
          <w:rFonts w:ascii="Arial Narrow" w:hAnsi="Arial Narrow" w:cs="Arial"/>
          <w:b/>
          <w:sz w:val="22"/>
          <w:szCs w:val="22"/>
        </w:rPr>
        <w:t>s</w:t>
      </w:r>
      <w:r w:rsidR="00416FAA" w:rsidRPr="00416FAA">
        <w:rPr>
          <w:rFonts w:ascii="Arial Narrow" w:hAnsi="Arial Narrow" w:cs="Arial"/>
          <w:b/>
          <w:sz w:val="22"/>
          <w:szCs w:val="22"/>
        </w:rPr>
        <w:t>:</w:t>
      </w:r>
      <w:r w:rsidR="00416FAA">
        <w:rPr>
          <w:rFonts w:ascii="Arial Narrow" w:hAnsi="Arial Narrow" w:cs="Arial"/>
          <w:b/>
          <w:sz w:val="22"/>
          <w:szCs w:val="22"/>
        </w:rPr>
        <w:tab/>
      </w:r>
      <w:r w:rsidRPr="007F3F51">
        <w:rPr>
          <w:rFonts w:ascii="Arial Narrow" w:hAnsi="Arial Narrow" w:cs="Arial"/>
          <w:sz w:val="22"/>
          <w:szCs w:val="22"/>
        </w:rPr>
        <w:t xml:space="preserve">To date </w:t>
      </w:r>
      <w:r w:rsidR="00BC33AF">
        <w:rPr>
          <w:rFonts w:ascii="Arial Narrow" w:hAnsi="Arial Narrow" w:cs="Arial"/>
          <w:sz w:val="22"/>
          <w:szCs w:val="22"/>
        </w:rPr>
        <w:t>over 2</w:t>
      </w:r>
      <w:r w:rsidR="001169C7">
        <w:rPr>
          <w:rFonts w:ascii="Arial Narrow" w:hAnsi="Arial Narrow" w:cs="Arial"/>
          <w:sz w:val="22"/>
          <w:szCs w:val="22"/>
        </w:rPr>
        <w:t>5</w:t>
      </w:r>
      <w:r w:rsidR="00BC33AF">
        <w:rPr>
          <w:rFonts w:ascii="Arial Narrow" w:hAnsi="Arial Narrow" w:cs="Arial"/>
          <w:sz w:val="22"/>
          <w:szCs w:val="22"/>
        </w:rPr>
        <w:t>0</w:t>
      </w:r>
      <w:r w:rsidR="00CE4B95">
        <w:rPr>
          <w:rFonts w:ascii="Arial Narrow" w:hAnsi="Arial Narrow" w:cs="Arial"/>
          <w:sz w:val="22"/>
          <w:szCs w:val="22"/>
        </w:rPr>
        <w:t xml:space="preserve"> </w:t>
      </w:r>
      <w:r w:rsidRPr="007F3F51">
        <w:rPr>
          <w:rFonts w:ascii="Arial Narrow" w:hAnsi="Arial Narrow" w:cs="Arial"/>
          <w:sz w:val="22"/>
          <w:szCs w:val="22"/>
        </w:rPr>
        <w:t xml:space="preserve">patients have been </w:t>
      </w:r>
      <w:r w:rsidR="00BC33AF">
        <w:rPr>
          <w:rFonts w:ascii="Arial Narrow" w:hAnsi="Arial Narrow" w:cs="Arial"/>
          <w:sz w:val="22"/>
          <w:szCs w:val="22"/>
        </w:rPr>
        <w:t>treated with TLD</w:t>
      </w:r>
      <w:r w:rsidR="00BC33AF" w:rsidRPr="007F3F51">
        <w:rPr>
          <w:rFonts w:ascii="Arial Narrow" w:hAnsi="Arial Narrow" w:cs="Arial"/>
          <w:sz w:val="22"/>
          <w:szCs w:val="22"/>
        </w:rPr>
        <w:t xml:space="preserve"> </w:t>
      </w:r>
      <w:r w:rsidR="00AE0C1A">
        <w:rPr>
          <w:rFonts w:ascii="Arial Narrow" w:hAnsi="Arial Narrow" w:cs="Arial"/>
          <w:sz w:val="22"/>
          <w:szCs w:val="22"/>
        </w:rPr>
        <w:t>across</w:t>
      </w:r>
      <w:r w:rsidRPr="007F3F51">
        <w:rPr>
          <w:rFonts w:ascii="Arial Narrow" w:hAnsi="Arial Narrow" w:cs="Arial"/>
          <w:sz w:val="22"/>
          <w:szCs w:val="22"/>
        </w:rPr>
        <w:t xml:space="preserve"> </w:t>
      </w:r>
      <w:r w:rsidR="00BC33AF">
        <w:rPr>
          <w:rFonts w:ascii="Arial Narrow" w:hAnsi="Arial Narrow" w:cs="Arial"/>
          <w:sz w:val="22"/>
          <w:szCs w:val="22"/>
        </w:rPr>
        <w:t>5</w:t>
      </w:r>
      <w:r w:rsidRPr="007F3F51">
        <w:rPr>
          <w:rFonts w:ascii="Arial Narrow" w:hAnsi="Arial Narrow" w:cs="Arial"/>
          <w:sz w:val="22"/>
          <w:szCs w:val="22"/>
        </w:rPr>
        <w:t xml:space="preserve"> </w:t>
      </w:r>
      <w:r w:rsidR="006926F7">
        <w:rPr>
          <w:rFonts w:ascii="Arial Narrow" w:hAnsi="Arial Narrow" w:cs="Arial"/>
          <w:sz w:val="22"/>
          <w:szCs w:val="22"/>
        </w:rPr>
        <w:t>clinical trial</w:t>
      </w:r>
      <w:r w:rsidR="002625F5">
        <w:rPr>
          <w:rFonts w:ascii="Arial Narrow" w:hAnsi="Arial Narrow" w:cs="Arial"/>
          <w:sz w:val="22"/>
          <w:szCs w:val="22"/>
        </w:rPr>
        <w:t>s</w:t>
      </w:r>
      <w:r w:rsidR="00F574E5">
        <w:rPr>
          <w:rFonts w:ascii="Arial Narrow" w:hAnsi="Arial Narrow" w:cs="Arial"/>
          <w:sz w:val="22"/>
          <w:szCs w:val="22"/>
        </w:rPr>
        <w:t xml:space="preserve">. </w:t>
      </w:r>
      <w:r w:rsidR="00A962EE">
        <w:rPr>
          <w:rFonts w:ascii="Arial Narrow" w:hAnsi="Arial Narrow" w:cs="Arial"/>
          <w:sz w:val="22"/>
          <w:szCs w:val="22"/>
        </w:rPr>
        <w:t>Six</w:t>
      </w:r>
      <w:r w:rsidR="00F574E5">
        <w:rPr>
          <w:rFonts w:ascii="Arial Narrow" w:hAnsi="Arial Narrow" w:cs="Arial"/>
          <w:sz w:val="22"/>
          <w:szCs w:val="22"/>
        </w:rPr>
        <w:t xml:space="preserve"> peer reviewed</w:t>
      </w:r>
      <w:r w:rsidR="00BC33AF">
        <w:rPr>
          <w:rFonts w:ascii="Arial Narrow" w:hAnsi="Arial Narrow" w:cs="Arial"/>
          <w:sz w:val="22"/>
          <w:szCs w:val="22"/>
        </w:rPr>
        <w:t xml:space="preserve"> publi</w:t>
      </w:r>
      <w:r w:rsidR="00F574E5">
        <w:rPr>
          <w:rFonts w:ascii="Arial Narrow" w:hAnsi="Arial Narrow" w:cs="Arial"/>
          <w:sz w:val="22"/>
          <w:szCs w:val="22"/>
        </w:rPr>
        <w:t>cations</w:t>
      </w:r>
      <w:r w:rsidRPr="007F3F51">
        <w:rPr>
          <w:rFonts w:ascii="Arial Narrow" w:hAnsi="Arial Narrow" w:cs="Arial"/>
          <w:sz w:val="22"/>
          <w:szCs w:val="22"/>
        </w:rPr>
        <w:t xml:space="preserve"> </w:t>
      </w:r>
      <w:r w:rsidR="00E50EE5">
        <w:rPr>
          <w:rFonts w:ascii="Arial Narrow" w:hAnsi="Arial Narrow" w:cs="Arial"/>
          <w:sz w:val="22"/>
          <w:szCs w:val="22"/>
        </w:rPr>
        <w:t>document</w:t>
      </w:r>
      <w:r w:rsidRPr="007F3F51">
        <w:rPr>
          <w:rFonts w:ascii="Arial Narrow" w:hAnsi="Arial Narrow" w:cs="Arial"/>
          <w:sz w:val="22"/>
          <w:szCs w:val="22"/>
        </w:rPr>
        <w:t xml:space="preserve"> a </w:t>
      </w:r>
      <w:r w:rsidR="00EF3E36">
        <w:rPr>
          <w:rFonts w:ascii="Arial Narrow" w:hAnsi="Arial Narrow" w:cs="Arial"/>
          <w:sz w:val="22"/>
          <w:szCs w:val="22"/>
        </w:rPr>
        <w:t xml:space="preserve">positive </w:t>
      </w:r>
      <w:r w:rsidRPr="007F3F51">
        <w:rPr>
          <w:rFonts w:ascii="Arial Narrow" w:hAnsi="Arial Narrow" w:cs="Arial"/>
          <w:sz w:val="22"/>
          <w:szCs w:val="22"/>
        </w:rPr>
        <w:t xml:space="preserve">long-term safety </w:t>
      </w:r>
      <w:r w:rsidR="00A30A64" w:rsidRPr="007F3F51">
        <w:rPr>
          <w:rFonts w:ascii="Arial Narrow" w:hAnsi="Arial Narrow" w:cs="Arial"/>
          <w:sz w:val="22"/>
          <w:szCs w:val="22"/>
        </w:rPr>
        <w:t>profile and</w:t>
      </w:r>
      <w:r w:rsidRPr="007F3F51">
        <w:rPr>
          <w:rFonts w:ascii="Arial Narrow" w:hAnsi="Arial Narrow" w:cs="Arial"/>
          <w:sz w:val="22"/>
          <w:szCs w:val="22"/>
        </w:rPr>
        <w:t xml:space="preserve"> </w:t>
      </w:r>
      <w:r w:rsidR="00BC33AF">
        <w:rPr>
          <w:rFonts w:ascii="Arial Narrow" w:hAnsi="Arial Narrow" w:cs="Arial"/>
          <w:sz w:val="22"/>
          <w:szCs w:val="22"/>
        </w:rPr>
        <w:t>sustained positive clinical impact</w:t>
      </w:r>
      <w:r w:rsidRPr="007F3F51">
        <w:rPr>
          <w:rFonts w:ascii="Arial Narrow" w:hAnsi="Arial Narrow" w:cs="Arial"/>
          <w:sz w:val="22"/>
          <w:szCs w:val="22"/>
        </w:rPr>
        <w:t xml:space="preserve"> of </w:t>
      </w:r>
      <w:r w:rsidR="00AB3C3D">
        <w:rPr>
          <w:rFonts w:ascii="Arial Narrow" w:hAnsi="Arial Narrow" w:cs="Arial"/>
          <w:sz w:val="22"/>
          <w:szCs w:val="22"/>
        </w:rPr>
        <w:t>TLD</w:t>
      </w:r>
      <w:r w:rsidRPr="007F3F51">
        <w:rPr>
          <w:rFonts w:ascii="Arial Narrow" w:hAnsi="Arial Narrow" w:cs="Arial"/>
          <w:sz w:val="22"/>
          <w:szCs w:val="22"/>
        </w:rPr>
        <w:t xml:space="preserve"> in patients with COPD. AIRFLOW-3 is a</w:t>
      </w:r>
      <w:r w:rsidR="00721B61">
        <w:rPr>
          <w:rFonts w:ascii="Arial Narrow" w:hAnsi="Arial Narrow" w:cs="Arial"/>
          <w:sz w:val="22"/>
          <w:szCs w:val="22"/>
        </w:rPr>
        <w:t>n investigational</w:t>
      </w:r>
      <w:r w:rsidR="001724A2">
        <w:rPr>
          <w:rFonts w:ascii="Arial Narrow" w:hAnsi="Arial Narrow" w:cs="Arial"/>
          <w:sz w:val="22"/>
          <w:szCs w:val="22"/>
        </w:rPr>
        <w:t>,</w:t>
      </w:r>
      <w:r w:rsidRPr="007F3F51">
        <w:rPr>
          <w:rFonts w:ascii="Arial Narrow" w:hAnsi="Arial Narrow" w:cs="Arial"/>
          <w:sz w:val="22"/>
          <w:szCs w:val="22"/>
        </w:rPr>
        <w:t xml:space="preserve"> randomized, sham-controlled, double-blinded</w:t>
      </w:r>
      <w:r w:rsidR="00C0399E">
        <w:rPr>
          <w:rFonts w:ascii="Arial Narrow" w:hAnsi="Arial Narrow" w:cs="Arial"/>
          <w:sz w:val="22"/>
          <w:szCs w:val="22"/>
        </w:rPr>
        <w:t>,</w:t>
      </w:r>
      <w:r w:rsidRPr="007F3F51">
        <w:rPr>
          <w:rFonts w:ascii="Arial Narrow" w:hAnsi="Arial Narrow" w:cs="Arial"/>
          <w:sz w:val="22"/>
          <w:szCs w:val="22"/>
        </w:rPr>
        <w:t xml:space="preserve"> </w:t>
      </w:r>
      <w:r w:rsidR="00BC33AF">
        <w:rPr>
          <w:rFonts w:ascii="Arial Narrow" w:hAnsi="Arial Narrow" w:cs="Arial"/>
          <w:sz w:val="22"/>
          <w:szCs w:val="22"/>
        </w:rPr>
        <w:t>superiority design</w:t>
      </w:r>
      <w:r w:rsidR="00C0399E">
        <w:rPr>
          <w:rFonts w:ascii="Arial Narrow" w:hAnsi="Arial Narrow" w:cs="Arial"/>
          <w:sz w:val="22"/>
          <w:szCs w:val="22"/>
        </w:rPr>
        <w:t>ed</w:t>
      </w:r>
      <w:r w:rsidR="00BC33AF">
        <w:rPr>
          <w:rFonts w:ascii="Arial Narrow" w:hAnsi="Arial Narrow" w:cs="Arial"/>
          <w:sz w:val="22"/>
          <w:szCs w:val="22"/>
        </w:rPr>
        <w:t xml:space="preserve"> </w:t>
      </w:r>
      <w:r w:rsidRPr="007F3F51">
        <w:rPr>
          <w:rFonts w:ascii="Arial Narrow" w:hAnsi="Arial Narrow" w:cs="Arial"/>
          <w:sz w:val="22"/>
          <w:szCs w:val="22"/>
        </w:rPr>
        <w:t xml:space="preserve">pivotal trial that </w:t>
      </w:r>
      <w:r w:rsidR="00BC33AF">
        <w:rPr>
          <w:rFonts w:ascii="Arial Narrow" w:hAnsi="Arial Narrow" w:cs="Arial"/>
          <w:sz w:val="22"/>
          <w:szCs w:val="22"/>
        </w:rPr>
        <w:t xml:space="preserve">will complete enrollment </w:t>
      </w:r>
      <w:r w:rsidR="00573FED">
        <w:rPr>
          <w:rFonts w:ascii="Arial Narrow" w:hAnsi="Arial Narrow" w:cs="Arial"/>
          <w:sz w:val="22"/>
          <w:szCs w:val="22"/>
        </w:rPr>
        <w:t xml:space="preserve">of 400 patients </w:t>
      </w:r>
      <w:r w:rsidR="00BC33AF">
        <w:rPr>
          <w:rFonts w:ascii="Arial Narrow" w:hAnsi="Arial Narrow" w:cs="Arial"/>
          <w:sz w:val="22"/>
          <w:szCs w:val="22"/>
        </w:rPr>
        <w:t>in early 2022.</w:t>
      </w:r>
    </w:p>
    <w:p w14:paraId="3208986F" w14:textId="0ECC991E" w:rsidR="006173D4" w:rsidRDefault="006173D4" w:rsidP="00257B64">
      <w:pPr>
        <w:ind w:left="3240"/>
        <w:rPr>
          <w:rFonts w:ascii="Arial Narrow" w:hAnsi="Arial Narrow" w:cs="Arial"/>
          <w:sz w:val="22"/>
          <w:szCs w:val="22"/>
        </w:rPr>
      </w:pPr>
    </w:p>
    <w:p w14:paraId="5A1ADB1E" w14:textId="7AEDE6E9" w:rsidR="006173D4" w:rsidRDefault="006173D4" w:rsidP="006173D4">
      <w:pPr>
        <w:ind w:left="3240" w:hanging="324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Therapeutic Value Proposition:</w:t>
      </w:r>
      <w:r>
        <w:rPr>
          <w:rFonts w:ascii="Arial Narrow" w:hAnsi="Arial Narrow" w:cs="Arial"/>
          <w:b/>
          <w:sz w:val="22"/>
          <w:szCs w:val="22"/>
        </w:rPr>
        <w:tab/>
      </w:r>
      <w:r w:rsidRPr="006173D4">
        <w:rPr>
          <w:rFonts w:ascii="Arial Narrow" w:hAnsi="Arial Narrow" w:cs="Arial"/>
          <w:sz w:val="22"/>
          <w:szCs w:val="22"/>
        </w:rPr>
        <w:t>The goal of TLD treatment</w:t>
      </w:r>
      <w:r>
        <w:rPr>
          <w:rFonts w:ascii="Arial Narrow" w:hAnsi="Arial Narrow" w:cs="Arial"/>
          <w:sz w:val="22"/>
          <w:szCs w:val="22"/>
        </w:rPr>
        <w:t xml:space="preserve"> is to improve clinical stability and reduce exacerbations in moderate-to-severe COPD patients with high symptom burden despite optimal medical management.</w:t>
      </w:r>
    </w:p>
    <w:p w14:paraId="4884E243" w14:textId="00D3A33E" w:rsidR="00B148DD" w:rsidRDefault="00B148DD" w:rsidP="007F3F51">
      <w:pPr>
        <w:rPr>
          <w:rFonts w:ascii="Arial Narrow" w:hAnsi="Arial Narrow" w:cs="Arial"/>
          <w:b/>
          <w:sz w:val="22"/>
          <w:szCs w:val="22"/>
        </w:rPr>
      </w:pPr>
    </w:p>
    <w:p w14:paraId="5870AEE3" w14:textId="6CD6BBF3" w:rsidR="007F3F51" w:rsidRPr="007F3F51" w:rsidRDefault="00B148DD" w:rsidP="007F3F51">
      <w:pPr>
        <w:ind w:left="3240" w:hanging="32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Regulatory Approvals:</w:t>
      </w:r>
      <w:r>
        <w:rPr>
          <w:rFonts w:ascii="Arial Narrow" w:hAnsi="Arial Narrow" w:cs="Arial"/>
          <w:b/>
          <w:sz w:val="22"/>
          <w:szCs w:val="22"/>
        </w:rPr>
        <w:tab/>
      </w:r>
      <w:r w:rsidRPr="007F3F51">
        <w:rPr>
          <w:rFonts w:ascii="Arial Narrow" w:hAnsi="Arial Narrow" w:cs="Arial"/>
          <w:sz w:val="22"/>
          <w:szCs w:val="22"/>
        </w:rPr>
        <w:t>CE mark (2016)</w:t>
      </w:r>
    </w:p>
    <w:p w14:paraId="522A28C9" w14:textId="3F31BCAB" w:rsidR="00B148DD" w:rsidRPr="007F3F51" w:rsidRDefault="00AB05C7" w:rsidP="007F3F51">
      <w:pPr>
        <w:ind w:left="32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Investigational Device Exemption (</w:t>
      </w:r>
      <w:r w:rsidR="00B148DD" w:rsidRPr="007F3F51">
        <w:rPr>
          <w:rFonts w:ascii="Arial Narrow" w:hAnsi="Arial Narrow" w:cs="Arial"/>
          <w:sz w:val="22"/>
          <w:szCs w:val="22"/>
        </w:rPr>
        <w:t>IDE</w:t>
      </w:r>
      <w:r>
        <w:rPr>
          <w:rFonts w:ascii="Arial Narrow" w:hAnsi="Arial Narrow" w:cs="Arial"/>
          <w:sz w:val="22"/>
          <w:szCs w:val="22"/>
        </w:rPr>
        <w:t>)</w:t>
      </w:r>
      <w:r w:rsidR="00B148DD" w:rsidRPr="007F3F51">
        <w:rPr>
          <w:rFonts w:ascii="Arial Narrow" w:hAnsi="Arial Narrow" w:cs="Arial"/>
          <w:sz w:val="22"/>
          <w:szCs w:val="22"/>
        </w:rPr>
        <w:t xml:space="preserve"> approval for the AIRFLOW-3 </w:t>
      </w:r>
      <w:r w:rsidR="0068450E">
        <w:rPr>
          <w:rFonts w:ascii="Arial Narrow" w:hAnsi="Arial Narrow" w:cs="Arial"/>
          <w:sz w:val="22"/>
          <w:szCs w:val="22"/>
        </w:rPr>
        <w:t>Clinical Trial</w:t>
      </w:r>
      <w:r w:rsidR="00B148DD" w:rsidRPr="007F3F51">
        <w:rPr>
          <w:rFonts w:ascii="Arial Narrow" w:hAnsi="Arial Narrow" w:cs="Arial"/>
          <w:sz w:val="22"/>
          <w:szCs w:val="22"/>
        </w:rPr>
        <w:t xml:space="preserve"> (</w:t>
      </w:r>
      <w:r w:rsidR="007F3F51" w:rsidRPr="007F3F51">
        <w:rPr>
          <w:rFonts w:ascii="Arial Narrow" w:hAnsi="Arial Narrow" w:cs="Arial"/>
          <w:sz w:val="22"/>
          <w:szCs w:val="22"/>
        </w:rPr>
        <w:t>2018)</w:t>
      </w:r>
    </w:p>
    <w:p w14:paraId="20227649" w14:textId="77777777" w:rsidR="003B2E8B" w:rsidRDefault="003B2E8B" w:rsidP="007F3F51">
      <w:pPr>
        <w:rPr>
          <w:rFonts w:ascii="Arial Narrow" w:hAnsi="Arial Narrow" w:cs="Arial"/>
          <w:sz w:val="22"/>
          <w:szCs w:val="22"/>
        </w:rPr>
      </w:pPr>
    </w:p>
    <w:p w14:paraId="2AA9BCA7" w14:textId="721FB10D" w:rsidR="00610A9A" w:rsidRDefault="00B81575" w:rsidP="007F3F51">
      <w:pPr>
        <w:ind w:left="3240" w:hanging="324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Financing:</w:t>
      </w:r>
      <w:r>
        <w:rPr>
          <w:rFonts w:ascii="Arial Narrow" w:hAnsi="Arial Narrow" w:cs="Arial"/>
          <w:b/>
          <w:sz w:val="22"/>
          <w:szCs w:val="22"/>
        </w:rPr>
        <w:tab/>
      </w:r>
      <w:r w:rsidR="007F3F51" w:rsidRPr="007F3F51">
        <w:rPr>
          <w:rFonts w:ascii="Arial Narrow" w:hAnsi="Arial Narrow" w:cs="Arial"/>
          <w:sz w:val="22"/>
          <w:szCs w:val="22"/>
        </w:rPr>
        <w:t>$15</w:t>
      </w:r>
      <w:r w:rsidR="0065483D">
        <w:rPr>
          <w:rFonts w:ascii="Arial Narrow" w:hAnsi="Arial Narrow" w:cs="Arial"/>
          <w:sz w:val="22"/>
          <w:szCs w:val="22"/>
        </w:rPr>
        <w:t>9</w:t>
      </w:r>
      <w:r w:rsidR="007F3F51" w:rsidRPr="007F3F51">
        <w:rPr>
          <w:rFonts w:ascii="Arial Narrow" w:hAnsi="Arial Narrow" w:cs="Arial"/>
          <w:sz w:val="22"/>
          <w:szCs w:val="22"/>
        </w:rPr>
        <w:t xml:space="preserve"> million raised </w:t>
      </w:r>
    </w:p>
    <w:p w14:paraId="5EC0CA85" w14:textId="25263C11" w:rsidR="00B81575" w:rsidRDefault="00B81575" w:rsidP="007F3F51">
      <w:pPr>
        <w:rPr>
          <w:rFonts w:ascii="Arial Narrow" w:hAnsi="Arial Narrow" w:cs="Arial"/>
          <w:b/>
          <w:sz w:val="22"/>
          <w:szCs w:val="22"/>
        </w:rPr>
      </w:pPr>
    </w:p>
    <w:p w14:paraId="46DB134B" w14:textId="7D3148A5" w:rsidR="00B81575" w:rsidRDefault="00B81575" w:rsidP="007F3F51">
      <w:pPr>
        <w:ind w:left="3240" w:hanging="32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Intellectual Property:</w:t>
      </w:r>
      <w:r>
        <w:rPr>
          <w:rFonts w:ascii="Arial Narrow" w:hAnsi="Arial Narrow" w:cs="Arial"/>
          <w:b/>
          <w:sz w:val="22"/>
          <w:szCs w:val="22"/>
        </w:rPr>
        <w:tab/>
      </w:r>
      <w:r w:rsidR="007F3F51" w:rsidRPr="007F3F51">
        <w:rPr>
          <w:rFonts w:ascii="Arial Narrow" w:hAnsi="Arial Narrow" w:cs="Arial"/>
          <w:sz w:val="22"/>
          <w:szCs w:val="22"/>
        </w:rPr>
        <w:t>+</w:t>
      </w:r>
      <w:r w:rsidR="00825BDF">
        <w:rPr>
          <w:rFonts w:ascii="Arial Narrow" w:hAnsi="Arial Narrow" w:cs="Arial"/>
          <w:sz w:val="22"/>
          <w:szCs w:val="22"/>
        </w:rPr>
        <w:t xml:space="preserve"> 75</w:t>
      </w:r>
      <w:r w:rsidRPr="007F3F51">
        <w:rPr>
          <w:rFonts w:ascii="Arial Narrow" w:hAnsi="Arial Narrow" w:cs="Arial"/>
          <w:sz w:val="22"/>
          <w:szCs w:val="22"/>
        </w:rPr>
        <w:t xml:space="preserve"> patents issued and pending worldwide</w:t>
      </w:r>
    </w:p>
    <w:p w14:paraId="7112B5F6" w14:textId="77777777" w:rsidR="000368C1" w:rsidRDefault="000368C1" w:rsidP="007F3F5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22D19667" w14:textId="4ED1A8A7" w:rsidR="00424E99" w:rsidRDefault="00424E99" w:rsidP="007F3F51">
      <w:pPr>
        <w:ind w:left="3240" w:hanging="3240"/>
        <w:rPr>
          <w:rFonts w:ascii="Arial Narrow" w:hAnsi="Arial Narrow" w:cs="Arial"/>
          <w:sz w:val="22"/>
          <w:szCs w:val="22"/>
        </w:rPr>
      </w:pPr>
      <w:r w:rsidRPr="00610A9A">
        <w:rPr>
          <w:rFonts w:ascii="Arial Narrow" w:hAnsi="Arial Narrow" w:cs="Arial"/>
          <w:b/>
          <w:sz w:val="22"/>
          <w:szCs w:val="22"/>
        </w:rPr>
        <w:t xml:space="preserve">Media </w:t>
      </w:r>
      <w:r>
        <w:rPr>
          <w:rFonts w:ascii="Arial Narrow" w:hAnsi="Arial Narrow" w:cs="Arial"/>
          <w:b/>
          <w:sz w:val="22"/>
          <w:szCs w:val="22"/>
        </w:rPr>
        <w:t>Inquiries</w:t>
      </w:r>
      <w:r w:rsidRPr="00610A9A">
        <w:rPr>
          <w:rFonts w:ascii="Arial Narrow" w:hAnsi="Arial Narrow" w:cs="Arial"/>
          <w:b/>
          <w:sz w:val="22"/>
          <w:szCs w:val="22"/>
        </w:rPr>
        <w:t>: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Amy Wolter</w:t>
      </w:r>
    </w:p>
    <w:p w14:paraId="5D83C130" w14:textId="2FEFF96C" w:rsidR="00424E99" w:rsidRDefault="007F3F51" w:rsidP="007F3F51">
      <w:pPr>
        <w:tabs>
          <w:tab w:val="left" w:pos="4860"/>
        </w:tabs>
        <w:ind w:left="3240" w:hanging="3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424E99" w:rsidRPr="008D798A">
        <w:rPr>
          <w:rFonts w:ascii="Arial Narrow" w:hAnsi="Arial Narrow"/>
          <w:sz w:val="22"/>
          <w:szCs w:val="22"/>
        </w:rPr>
        <w:t>+1 (763) 450-5676</w:t>
      </w:r>
    </w:p>
    <w:p w14:paraId="717FC069" w14:textId="31DF3820" w:rsidR="00777031" w:rsidRPr="008D798A" w:rsidRDefault="007F3F51" w:rsidP="004575B1">
      <w:pPr>
        <w:tabs>
          <w:tab w:val="left" w:pos="4860"/>
        </w:tabs>
        <w:ind w:left="3240" w:hanging="3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hyperlink r:id="rId6" w:history="1">
        <w:r w:rsidR="00777031" w:rsidRPr="007C03D3">
          <w:rPr>
            <w:rStyle w:val="Hyperlink"/>
            <w:rFonts w:ascii="Arial Narrow" w:hAnsi="Arial Narrow"/>
            <w:sz w:val="22"/>
            <w:szCs w:val="22"/>
          </w:rPr>
          <w:t>info@nuvaira.com</w:t>
        </w:r>
      </w:hyperlink>
    </w:p>
    <w:p w14:paraId="09371FF4" w14:textId="77777777" w:rsidR="00424E99" w:rsidRDefault="00424E99" w:rsidP="007F3F51">
      <w:pPr>
        <w:rPr>
          <w:rFonts w:ascii="Arial Narrow" w:hAnsi="Arial Narrow" w:cs="Arial"/>
          <w:sz w:val="22"/>
          <w:szCs w:val="22"/>
        </w:rPr>
      </w:pPr>
    </w:p>
    <w:p w14:paraId="75DB86AA" w14:textId="77777777" w:rsidR="002C3950" w:rsidRDefault="002C3950" w:rsidP="007F3F51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# # #</w:t>
      </w:r>
    </w:p>
    <w:p w14:paraId="2C87A414" w14:textId="1014777F" w:rsidR="000368C1" w:rsidRPr="00EB7DD9" w:rsidRDefault="000368C1" w:rsidP="007F3F51">
      <w:pPr>
        <w:rPr>
          <w:rFonts w:ascii="Arial Narrow" w:hAnsi="Arial Narrow" w:cs="Arial"/>
          <w:sz w:val="16"/>
          <w:szCs w:val="16"/>
        </w:rPr>
      </w:pPr>
    </w:p>
    <w:p w14:paraId="227F4A5E" w14:textId="44D8441F" w:rsidR="00AB05C7" w:rsidRPr="000A78B1" w:rsidRDefault="00AB05C7" w:rsidP="00AB05C7">
      <w:pPr>
        <w:rPr>
          <w:rFonts w:ascii="Arial Narrow" w:hAnsi="Arial Narrow" w:cs="Arial"/>
          <w:sz w:val="20"/>
          <w:szCs w:val="20"/>
        </w:rPr>
      </w:pPr>
      <w:bookmarkStart w:id="1" w:name="_Hlk72939706"/>
      <w:r w:rsidRPr="000A78B1">
        <w:rPr>
          <w:rFonts w:ascii="Arial Narrow" w:hAnsi="Arial Narrow" w:cs="Arial"/>
          <w:sz w:val="20"/>
          <w:szCs w:val="20"/>
        </w:rPr>
        <w:t xml:space="preserve">In the US, the Nuvaira Lung Denervation </w:t>
      </w:r>
      <w:r w:rsidR="00092D26" w:rsidRPr="000A78B1">
        <w:rPr>
          <w:rFonts w:ascii="Arial Narrow" w:hAnsi="Arial Narrow" w:cs="Arial"/>
          <w:sz w:val="20"/>
          <w:szCs w:val="20"/>
        </w:rPr>
        <w:t>S</w:t>
      </w:r>
      <w:r w:rsidRPr="000A78B1">
        <w:rPr>
          <w:rFonts w:ascii="Arial Narrow" w:hAnsi="Arial Narrow" w:cs="Arial"/>
          <w:sz w:val="20"/>
          <w:szCs w:val="20"/>
        </w:rPr>
        <w:t>ystem is limited by federal law to investigational use only.</w:t>
      </w:r>
    </w:p>
    <w:bookmarkEnd w:id="1"/>
    <w:p w14:paraId="3F2C8709" w14:textId="5E3E2C89" w:rsidR="00FB4B4D" w:rsidRPr="000A78B1" w:rsidRDefault="00F7676B" w:rsidP="007F3F51">
      <w:pPr>
        <w:rPr>
          <w:rFonts w:ascii="Arial Narrow" w:hAnsi="Arial Narrow" w:cs="Arial"/>
          <w:sz w:val="20"/>
          <w:szCs w:val="20"/>
        </w:rPr>
      </w:pPr>
      <w:r w:rsidRPr="000A78B1">
        <w:rPr>
          <w:rFonts w:ascii="Arial Narrow" w:hAnsi="Arial Narrow" w:cs="Arial"/>
          <w:sz w:val="20"/>
          <w:szCs w:val="20"/>
        </w:rPr>
        <w:t>Nuvaira</w:t>
      </w:r>
      <w:r w:rsidR="000368C1" w:rsidRPr="000A78B1">
        <w:rPr>
          <w:rFonts w:ascii="Arial Narrow" w:hAnsi="Arial Narrow" w:cs="Arial"/>
          <w:sz w:val="20"/>
          <w:szCs w:val="20"/>
        </w:rPr>
        <w:t xml:space="preserve"> and dNerva are</w:t>
      </w:r>
      <w:r w:rsidR="007F3F51" w:rsidRPr="000A78B1">
        <w:rPr>
          <w:rFonts w:ascii="Arial Narrow" w:hAnsi="Arial Narrow" w:cs="Arial"/>
          <w:sz w:val="20"/>
          <w:szCs w:val="20"/>
        </w:rPr>
        <w:t xml:space="preserve"> </w:t>
      </w:r>
      <w:r w:rsidR="00B148DD" w:rsidRPr="000A78B1">
        <w:rPr>
          <w:rFonts w:ascii="Arial Narrow" w:hAnsi="Arial Narrow" w:cs="Arial"/>
          <w:sz w:val="20"/>
          <w:szCs w:val="20"/>
        </w:rPr>
        <w:t xml:space="preserve">registered </w:t>
      </w:r>
      <w:r w:rsidR="000368C1" w:rsidRPr="000A78B1">
        <w:rPr>
          <w:rFonts w:ascii="Arial Narrow" w:hAnsi="Arial Narrow" w:cs="Arial"/>
          <w:sz w:val="20"/>
          <w:szCs w:val="20"/>
        </w:rPr>
        <w:t xml:space="preserve">trademarks of </w:t>
      </w:r>
      <w:r w:rsidRPr="000A78B1">
        <w:rPr>
          <w:rFonts w:ascii="Arial Narrow" w:hAnsi="Arial Narrow" w:cs="Arial"/>
          <w:sz w:val="20"/>
          <w:szCs w:val="20"/>
        </w:rPr>
        <w:t>Nuvaira</w:t>
      </w:r>
      <w:r w:rsidR="000368C1" w:rsidRPr="000A78B1">
        <w:rPr>
          <w:rFonts w:ascii="Arial Narrow" w:hAnsi="Arial Narrow" w:cs="Arial"/>
          <w:sz w:val="20"/>
          <w:szCs w:val="20"/>
        </w:rPr>
        <w:t>, Inc.</w:t>
      </w:r>
    </w:p>
    <w:sectPr w:rsidR="00FB4B4D" w:rsidRPr="000A78B1" w:rsidSect="006173D4">
      <w:headerReference w:type="default" r:id="rId7"/>
      <w:pgSz w:w="12240" w:h="15840"/>
      <w:pgMar w:top="918" w:right="1800" w:bottom="1152" w:left="108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C1009" w14:textId="77777777" w:rsidR="00CA1ADF" w:rsidRDefault="00CA1ADF" w:rsidP="009640CD">
      <w:r>
        <w:separator/>
      </w:r>
    </w:p>
  </w:endnote>
  <w:endnote w:type="continuationSeparator" w:id="0">
    <w:p w14:paraId="5C0FF158" w14:textId="77777777" w:rsidR="00CA1ADF" w:rsidRDefault="00CA1ADF" w:rsidP="0096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8AEC9" w14:textId="77777777" w:rsidR="00CA1ADF" w:rsidRDefault="00CA1ADF" w:rsidP="009640CD">
      <w:r>
        <w:separator/>
      </w:r>
    </w:p>
  </w:footnote>
  <w:footnote w:type="continuationSeparator" w:id="0">
    <w:p w14:paraId="41DD4A9A" w14:textId="77777777" w:rsidR="00CA1ADF" w:rsidRDefault="00CA1ADF" w:rsidP="0096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697E1" w14:textId="3EDAB476" w:rsidR="006E7EB0" w:rsidRDefault="006E7EB0" w:rsidP="00F7676B">
    <w:pPr>
      <w:pStyle w:val="Header"/>
      <w:jc w:val="right"/>
    </w:pPr>
    <w:r>
      <w:rPr>
        <w:rFonts w:ascii="Arial Narrow" w:hAnsi="Arial Narrow"/>
        <w:b/>
        <w:noProof/>
        <w:sz w:val="22"/>
        <w:szCs w:val="22"/>
      </w:rPr>
      <w:drawing>
        <wp:inline distT="0" distB="0" distL="0" distR="0" wp14:anchorId="6749EF07" wp14:editId="1A63C96B">
          <wp:extent cx="1316567" cy="380180"/>
          <wp:effectExtent l="0" t="0" r="4445" b="1270"/>
          <wp:docPr id="1" name="Picture 1" descr="Macintosh HD:Users:lmwright:Desktop:DESKTOP II:Consulting:Holaira formerly IPS:Identity, Messaging, Pre-IDE, Illustrations, Photos, Web, Logo Holaira:Six Degrees:2016, 17 Naming Project:Nuvaira Logo Finals:NUVAIRA Logo Mechanical Files r2:JPG:-TM:NUVAIRA (TM) 2-Color RGB_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mwright:Desktop:DESKTOP II:Consulting:Holaira formerly IPS:Identity, Messaging, Pre-IDE, Illustrations, Photos, Web, Logo Holaira:Six Degrees:2016, 17 Naming Project:Nuvaira Logo Finals:NUVAIRA Logo Mechanical Files r2:JPG:-TM:NUVAIRA (TM) 2-Color RGB_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886" cy="383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4D"/>
    <w:rsid w:val="00033C51"/>
    <w:rsid w:val="000368C1"/>
    <w:rsid w:val="00063BCE"/>
    <w:rsid w:val="0007382C"/>
    <w:rsid w:val="0009112C"/>
    <w:rsid w:val="00092D26"/>
    <w:rsid w:val="000A78B1"/>
    <w:rsid w:val="000F527B"/>
    <w:rsid w:val="000F7B47"/>
    <w:rsid w:val="00111896"/>
    <w:rsid w:val="001169C7"/>
    <w:rsid w:val="0013394B"/>
    <w:rsid w:val="00143D36"/>
    <w:rsid w:val="001724A2"/>
    <w:rsid w:val="001A2009"/>
    <w:rsid w:val="001B0361"/>
    <w:rsid w:val="00223E11"/>
    <w:rsid w:val="00230A82"/>
    <w:rsid w:val="002558D7"/>
    <w:rsid w:val="00257B64"/>
    <w:rsid w:val="002625F5"/>
    <w:rsid w:val="002C07DD"/>
    <w:rsid w:val="002C3950"/>
    <w:rsid w:val="002D13ED"/>
    <w:rsid w:val="00353C99"/>
    <w:rsid w:val="0035797D"/>
    <w:rsid w:val="003743C9"/>
    <w:rsid w:val="003A4933"/>
    <w:rsid w:val="003B2E8B"/>
    <w:rsid w:val="00416FAA"/>
    <w:rsid w:val="00424C0A"/>
    <w:rsid w:val="00424E99"/>
    <w:rsid w:val="004575B1"/>
    <w:rsid w:val="00467C97"/>
    <w:rsid w:val="004755AA"/>
    <w:rsid w:val="004964A5"/>
    <w:rsid w:val="004B3F09"/>
    <w:rsid w:val="004F1D40"/>
    <w:rsid w:val="00573FED"/>
    <w:rsid w:val="005D7494"/>
    <w:rsid w:val="005E3EFC"/>
    <w:rsid w:val="005F2DBF"/>
    <w:rsid w:val="006003FD"/>
    <w:rsid w:val="00610A9A"/>
    <w:rsid w:val="006173D4"/>
    <w:rsid w:val="00622C82"/>
    <w:rsid w:val="00640866"/>
    <w:rsid w:val="0065483D"/>
    <w:rsid w:val="0068450E"/>
    <w:rsid w:val="006926F7"/>
    <w:rsid w:val="006B42C7"/>
    <w:rsid w:val="006E3F54"/>
    <w:rsid w:val="006E7EB0"/>
    <w:rsid w:val="00721B61"/>
    <w:rsid w:val="00761A08"/>
    <w:rsid w:val="007673CA"/>
    <w:rsid w:val="00777031"/>
    <w:rsid w:val="00777B96"/>
    <w:rsid w:val="00795D80"/>
    <w:rsid w:val="007F3F51"/>
    <w:rsid w:val="008072A9"/>
    <w:rsid w:val="008204E1"/>
    <w:rsid w:val="00825BDF"/>
    <w:rsid w:val="00857697"/>
    <w:rsid w:val="008820F6"/>
    <w:rsid w:val="008948A1"/>
    <w:rsid w:val="008D798A"/>
    <w:rsid w:val="00921C7C"/>
    <w:rsid w:val="00944AB2"/>
    <w:rsid w:val="00954FBA"/>
    <w:rsid w:val="009640CD"/>
    <w:rsid w:val="009C5B9F"/>
    <w:rsid w:val="009E4F5A"/>
    <w:rsid w:val="00A30A64"/>
    <w:rsid w:val="00A4168E"/>
    <w:rsid w:val="00A646A7"/>
    <w:rsid w:val="00A65CD9"/>
    <w:rsid w:val="00A87F3E"/>
    <w:rsid w:val="00A912F2"/>
    <w:rsid w:val="00A962EE"/>
    <w:rsid w:val="00AB05C7"/>
    <w:rsid w:val="00AB3C3D"/>
    <w:rsid w:val="00AD1853"/>
    <w:rsid w:val="00AE0C1A"/>
    <w:rsid w:val="00AE338A"/>
    <w:rsid w:val="00AE724C"/>
    <w:rsid w:val="00B12AC7"/>
    <w:rsid w:val="00B148DD"/>
    <w:rsid w:val="00B47215"/>
    <w:rsid w:val="00B53EBB"/>
    <w:rsid w:val="00B81575"/>
    <w:rsid w:val="00B82088"/>
    <w:rsid w:val="00B94E98"/>
    <w:rsid w:val="00B971CD"/>
    <w:rsid w:val="00BB0F5D"/>
    <w:rsid w:val="00BC33AF"/>
    <w:rsid w:val="00BD39BC"/>
    <w:rsid w:val="00BE50F0"/>
    <w:rsid w:val="00C0399E"/>
    <w:rsid w:val="00C13CAA"/>
    <w:rsid w:val="00C15086"/>
    <w:rsid w:val="00C20BB5"/>
    <w:rsid w:val="00C239E7"/>
    <w:rsid w:val="00C517F8"/>
    <w:rsid w:val="00C73C70"/>
    <w:rsid w:val="00C83207"/>
    <w:rsid w:val="00C85228"/>
    <w:rsid w:val="00CA1ADF"/>
    <w:rsid w:val="00CB3270"/>
    <w:rsid w:val="00CE4B95"/>
    <w:rsid w:val="00D05968"/>
    <w:rsid w:val="00D33DBC"/>
    <w:rsid w:val="00DB2136"/>
    <w:rsid w:val="00DF3263"/>
    <w:rsid w:val="00E50EE5"/>
    <w:rsid w:val="00E718B5"/>
    <w:rsid w:val="00EA625C"/>
    <w:rsid w:val="00EB7DD9"/>
    <w:rsid w:val="00EC358E"/>
    <w:rsid w:val="00EC7B49"/>
    <w:rsid w:val="00EF3E36"/>
    <w:rsid w:val="00F44602"/>
    <w:rsid w:val="00F4494E"/>
    <w:rsid w:val="00F45B5D"/>
    <w:rsid w:val="00F570F7"/>
    <w:rsid w:val="00F574E5"/>
    <w:rsid w:val="00F604FF"/>
    <w:rsid w:val="00F72021"/>
    <w:rsid w:val="00F7676B"/>
    <w:rsid w:val="00FB3ECB"/>
    <w:rsid w:val="00FB4B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3FF77"/>
  <w15:docId w15:val="{B109DEA7-58FA-7541-A97F-5165A19F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6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2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C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42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B42C7"/>
  </w:style>
  <w:style w:type="character" w:customStyle="1" w:styleId="CommentTextChar">
    <w:name w:val="Comment Text Char"/>
    <w:basedOn w:val="DefaultParagraphFont"/>
    <w:link w:val="CommentText"/>
    <w:uiPriority w:val="99"/>
    <w:rsid w:val="006B42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2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2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40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0CD"/>
  </w:style>
  <w:style w:type="paragraph" w:styleId="Footer">
    <w:name w:val="footer"/>
    <w:basedOn w:val="Normal"/>
    <w:link w:val="FooterChar"/>
    <w:uiPriority w:val="99"/>
    <w:unhideWhenUsed/>
    <w:rsid w:val="00964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0CD"/>
  </w:style>
  <w:style w:type="character" w:customStyle="1" w:styleId="Heading1Char">
    <w:name w:val="Heading 1 Char"/>
    <w:basedOn w:val="DefaultParagraphFont"/>
    <w:link w:val="Heading1"/>
    <w:uiPriority w:val="9"/>
    <w:rsid w:val="00A646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77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uvair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 Public Relations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Cook</dc:creator>
  <cp:keywords/>
  <dc:description/>
  <cp:lastModifiedBy>Michelle Petersen</cp:lastModifiedBy>
  <cp:revision>2</cp:revision>
  <dcterms:created xsi:type="dcterms:W3CDTF">2021-06-15T14:28:00Z</dcterms:created>
  <dcterms:modified xsi:type="dcterms:W3CDTF">2021-06-15T14:28:00Z</dcterms:modified>
</cp:coreProperties>
</file>